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DECLARAȚIE DE PERFORMANȚĂ nr. 2023/A22/61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hanging="426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Cod unic de identificare a tipului de produs: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pacing w:after="0" w:before="160" w:line="264" w:lineRule="auto"/>
        <w:jc w:val="both"/>
        <w:rPr>
          <w:rFonts w:ascii="Arial" w:cs="Arial" w:eastAsia="Arial" w:hAnsi="Arial"/>
          <w:b w:val="0"/>
          <w:sz w:val="18"/>
          <w:szCs w:val="18"/>
        </w:rPr>
      </w:pPr>
      <w:bookmarkStart w:colFirst="0" w:colLast="0" w:name="_heading=h.qe5xfsdx4dbo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rtl w:val="0"/>
        </w:rPr>
        <w:t xml:space="preserve"> Diblu gips carton metalic GKDZ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hanging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Tip, lot sau număr serie sau orice alt element care permite identificarea produsului de construcție, astfel cum se prevede la articolul 275/2013 (VII. 16).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Tipul și numărul de lot se găsesc pe ambalajul produsului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60" w:lineRule="auto"/>
        <w:ind w:left="425" w:hanging="425"/>
        <w:rPr>
          <w:rFonts w:ascii="Arial" w:cs="Arial" w:eastAsia="Arial" w:hAnsi="Arial"/>
          <w:color w:val="000000"/>
          <w:sz w:val="18"/>
          <w:szCs w:val="18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Utilizare prevăzută sau utilizări prevăzute ale produsului pentru construcţii, în conformitate cu aprobarea tehnică relevantă, aşa cum este prevăzut de către producător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tblW w:w="8541.0" w:type="dxa"/>
        <w:jc w:val="left"/>
        <w:tblInd w:w="1665.0" w:type="dxa"/>
        <w:tblLayout w:type="fixed"/>
        <w:tblLook w:val="0000"/>
      </w:tblPr>
      <w:tblGrid>
        <w:gridCol w:w="2420"/>
        <w:gridCol w:w="3995"/>
        <w:gridCol w:w="2126"/>
        <w:tblGridChange w:id="0">
          <w:tblGrid>
            <w:gridCol w:w="2420"/>
            <w:gridCol w:w="3995"/>
            <w:gridCol w:w="2126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Domeniu de aplicare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fixarea unei țevi sau a unui cablu; aplicație pentru rezistența la foc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Numărul de identificare al produsului (cu cod de produs):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DIBLU GIPS CARTON METALIC GKDZ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, 35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(9GKDZ)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DIBLU GIPS CARTON METALIC GKDZ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, 37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(937GKDZ)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MSZ EN 24102:2011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MSZ EN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1363-1:2013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EAD 330232-00-0601:2016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ind w:left="425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ind w:left="4745" w:firstLine="29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ind w:left="4745" w:firstLine="29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hanging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Nume, denumire comercială înregistrată sau marcă comercială înregistrată şi adresa producătorului în conformitate cu decretul guvernului nr. 275/2013 (VII. 16):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1440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CELO, Roselló, 7 - Pol.Ind. La Bruguera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08211 Castellar del Vallés, Barcelona, Spania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hanging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Sistem sau Sisteme de evaluare și verificare a constanței performanței produsului pentru construcție: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Sistem 2+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hanging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ÉMI Non-Profit SRL pentru Controlul Calității și Inovare în Construcții, H-2000 Szentendre, Calea Dózsa György 26., care a emis Evaluarea Tehnică Națională nr. A-22/2018 și raportul de inspecție cu numărul de proiect M1-T161X-16387-2018, și în privința căreia ÉMI Non-Profit SRL pentru Controlul Calității și Inovare în Construcții, H-2000 Szentendre, Calea Dózsa György 26. este un organism desemnat care face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426" w:firstLine="11.000000000000014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definirea tipului de produs;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426" w:firstLine="11.000000000000014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testarea aleatorie a produsului;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426" w:firstLine="11.000000000000014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inspecția de bază a fabricii și a controlului producției în fabrică;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426" w:firstLine="11.000000000000014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supravegherea continuă, inspecția și evaluarea controlului producției din fabrică în sistemul 2+ și a emis Evaluarea tehnică națională a produsului sub nr. A22 /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437" w:firstLine="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…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20" w:lineRule="auto"/>
        <w:ind w:left="426" w:hanging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Performanța declarată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437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</w:r>
    </w:p>
    <w:tbl>
      <w:tblPr>
        <w:tblStyle w:val="Table2"/>
        <w:tblW w:w="8625.0" w:type="dxa"/>
        <w:jc w:val="left"/>
        <w:tblInd w:w="1438.0" w:type="dxa"/>
        <w:tblLayout w:type="fixed"/>
        <w:tblLook w:val="0000"/>
      </w:tblPr>
      <w:tblGrid>
        <w:gridCol w:w="3525"/>
        <w:gridCol w:w="3975"/>
        <w:gridCol w:w="1125"/>
        <w:tblGridChange w:id="0">
          <w:tblGrid>
            <w:gridCol w:w="3525"/>
            <w:gridCol w:w="3975"/>
            <w:gridCol w:w="1125"/>
          </w:tblGrid>
        </w:tblGridChange>
      </w:tblGrid>
      <w:tr>
        <w:trPr>
          <w:cantSplit w:val="1"/>
          <w:trHeight w:val="46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Capacitate de încărcare la tracțiune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(fixat pe planul inferior al plăcii sau fixat pe peretele lateral)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MSZE 24102           MSZ EN 1363-1      MSZ EN 13501-1</w:t>
            </w:r>
          </w:p>
        </w:tc>
      </w:tr>
      <w:tr>
        <w:trPr>
          <w:cantSplit w:val="1"/>
          <w:trHeight w:val="84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 șurub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M6*25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Rezistent la foc timp de 90 de minute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(R90)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 gips-carton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C 20/25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pentru sarcini de forfecare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[kg]: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1 kg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 șurub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M6*44 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Utilizare fără rezistență la foc pe gips-carton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Pe gips-carton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Pentru sarcini de tracțiune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[kg]: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8,15 kg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Materie primă (clemă)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grosimea stratului de acoperire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clasa de protecție la foc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Oțel galvanizat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≥ 7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A1 (în conformitate cu EN 13501-1)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Tratarea suprafețelor, protecția împotriva coroziunii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galvanizare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437" w:firstLine="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…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hanging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Performanțele produsului definite la punctele 1 și 2. , se conformă cu performanța declarată indicată la punctul 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Prezența declaraţie de performanţă este dată pe proprie răspundere de către producătorul identificat la pct. 4.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firstLine="426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Data eliberării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: 11.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07.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firstLine="426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Semnat pentru şi în numele producătorului de către: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firstLine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2" w:top="1560" w:left="335" w:right="346" w:header="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03"/>
        <w:tab w:val="right" w:leader="none" w:pos="9406"/>
      </w:tabs>
      <w:spacing w:before="120" w:lineRule="auto"/>
      <w:jc w:val="right"/>
      <w:rPr>
        <w:color w:val="000000"/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declarație de perfomanță nr. </w:t>
    </w:r>
    <w:r w:rsidDel="00000000" w:rsidR="00000000" w:rsidRPr="00000000">
      <w:rPr>
        <w:color w:val="000000"/>
        <w:sz w:val="24"/>
        <w:szCs w:val="24"/>
        <w:rtl w:val="0"/>
      </w:rPr>
      <w:t xml:space="preserve">2023/A22/61, 2 / </w:t>
    </w: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03"/>
        <w:tab w:val="right" w:leader="none" w:pos="9406"/>
      </w:tabs>
      <w:spacing w:before="120" w:lineRule="auto"/>
      <w:rPr>
        <w:rFonts w:ascii="Arial" w:cs="Arial" w:eastAsia="Arial" w:hAnsi="Arial"/>
        <w:color w:val="ff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14572"/>
      </w:tabs>
      <w:spacing w:before="120" w:lineRule="auto"/>
      <w:rPr>
        <w:rFonts w:ascii="Arial" w:cs="Arial" w:eastAsia="Arial" w:hAnsi="Arial"/>
        <w:color w:val="ff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ff0000"/>
        <w:sz w:val="18"/>
        <w:szCs w:val="18"/>
        <w:rtl w:val="0"/>
      </w:rPr>
      <w:t xml:space="preserve">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466725</wp:posOffset>
          </wp:positionH>
          <wp:positionV relativeFrom="paragraph">
            <wp:posOffset>185420</wp:posOffset>
          </wp:positionV>
          <wp:extent cx="6200775" cy="75501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0775" cy="755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14572"/>
      </w:tabs>
      <w:spacing w:before="120" w:lineRule="auto"/>
      <w:rPr>
        <w:color w:val="ff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ff0000"/>
        <w:sz w:val="18"/>
        <w:szCs w:val="18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15"/>
        <w:szCs w:val="15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328" w:hanging="359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20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9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l" w:customStyle="1">
    <w:name w:val="Normál"/>
    <w:pPr>
      <w:suppressAutoHyphens w:val="1"/>
      <w:spacing w:before="12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val="sl-SI"/>
    </w:rPr>
  </w:style>
  <w:style w:type="character" w:styleId="Bekezdsalapbettpusa" w:customStyle="1">
    <w:name w:val="Bekezdés alapbetűtípusa"/>
    <w:rPr>
      <w:w w:val="100"/>
      <w:position w:val="-1"/>
      <w:effect w:val="none"/>
      <w:vertAlign w:val="baseline"/>
      <w:cs w:val="0"/>
      <w:em w:val="none"/>
    </w:rPr>
  </w:style>
  <w:style w:type="table" w:styleId="Normltblzat" w:customStyle="1">
    <w:name w:val="Normál táblázat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customStyle="1">
    <w:name w:val="Nem lista"/>
  </w:style>
  <w:style w:type="paragraph" w:styleId="ListParagraph">
    <w:name w:val="List Paragraph"/>
    <w:basedOn w:val="Norml"/>
    <w:pPr>
      <w:spacing w:after="200" w:before="0" w:line="276" w:lineRule="auto"/>
      <w:ind w:left="720"/>
      <w:contextualSpacing w:val="1"/>
    </w:pPr>
    <w:rPr>
      <w:rFonts w:ascii="Calibri" w:hAnsi="Calibri"/>
      <w:sz w:val="22"/>
      <w:szCs w:val="22"/>
    </w:rPr>
  </w:style>
  <w:style w:type="character" w:styleId="hps" w:customStyle="1">
    <w:name w:val="hps"/>
    <w:rPr>
      <w:w w:val="100"/>
      <w:position w:val="-1"/>
      <w:effect w:val="none"/>
      <w:vertAlign w:val="baseline"/>
      <w:cs w:val="0"/>
      <w:em w:val="none"/>
    </w:rPr>
  </w:style>
  <w:style w:type="character" w:styleId="shorttext" w:customStyle="1">
    <w:name w:val="short_text"/>
    <w:rPr>
      <w:w w:val="100"/>
      <w:position w:val="-1"/>
      <w:effect w:val="none"/>
      <w:vertAlign w:val="baseline"/>
      <w:cs w:val="0"/>
      <w:em w:val="none"/>
    </w:rPr>
  </w:style>
  <w:style w:type="character" w:styleId="hpsalt-edited" w:customStyle="1">
    <w:name w:val="hps alt-edited"/>
    <w:rPr>
      <w:w w:val="100"/>
      <w:position w:val="-1"/>
      <w:effect w:val="none"/>
      <w:vertAlign w:val="baseline"/>
      <w:cs w:val="0"/>
      <w:em w:val="none"/>
    </w:rPr>
  </w:style>
  <w:style w:type="paragraph" w:styleId="lfej" w:customStyle="1">
    <w:name w:val="Élőfej"/>
    <w:basedOn w:val="Norml"/>
    <w:pPr>
      <w:tabs>
        <w:tab w:val="center" w:pos="4703"/>
        <w:tab w:val="right" w:pos="9406"/>
      </w:tabs>
    </w:pPr>
  </w:style>
  <w:style w:type="paragraph" w:styleId="llb" w:customStyle="1">
    <w:name w:val="Élőláb"/>
    <w:basedOn w:val="Norml"/>
    <w:pPr>
      <w:tabs>
        <w:tab w:val="center" w:pos="4703"/>
        <w:tab w:val="right" w:pos="9406"/>
      </w:tabs>
    </w:pPr>
  </w:style>
  <w:style w:type="paragraph" w:styleId="CM4" w:customStyle="1">
    <w:name w:val="CM4"/>
    <w:basedOn w:val="Norml"/>
    <w:next w:val="Norml"/>
    <w:pPr>
      <w:autoSpaceDE w:val="0"/>
      <w:autoSpaceDN w:val="0"/>
      <w:adjustRightInd w:val="0"/>
      <w:spacing w:before="0"/>
    </w:pPr>
    <w:rPr>
      <w:rFonts w:ascii="EUAlbertina" w:cs="EUAlbertina" w:hAnsi="EUAlbertina"/>
      <w:b w:val="1"/>
      <w:bCs w:val="1"/>
      <w:lang w:eastAsia="hu-HU" w:val="hu-HU"/>
    </w:rPr>
  </w:style>
  <w:style w:type="paragraph" w:styleId="ListParagraph1" w:customStyle="1">
    <w:name w:val="List Paragraph1"/>
    <w:basedOn w:val="Norml"/>
    <w:pPr>
      <w:spacing w:after="200" w:before="0" w:line="276" w:lineRule="auto"/>
      <w:ind w:left="720"/>
      <w:contextualSpacing w:val="1"/>
    </w:pPr>
    <w:rPr>
      <w:b w:val="1"/>
      <w:bCs w:val="1"/>
      <w:sz w:val="16"/>
      <w:szCs w:val="16"/>
      <w:lang w:eastAsia="hu-HU" w:val="hu-HU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cs-CZ" w:val="cs-CZ"/>
    </w:rPr>
  </w:style>
  <w:style w:type="character" w:styleId="llbChar" w:customStyle="1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sl-SI"/>
    </w:rPr>
  </w:style>
  <w:style w:type="character" w:styleId="Jegyzethivatkozs" w:customStyle="1">
    <w:name w:val="Jegyzethivatkozás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 w:customStyle="1">
    <w:name w:val="Jegyzetszöveg"/>
    <w:basedOn w:val="Norml"/>
    <w:rPr>
      <w:sz w:val="20"/>
      <w:szCs w:val="20"/>
    </w:rPr>
  </w:style>
  <w:style w:type="character" w:styleId="JegyzetszvegChar" w:customStyle="1">
    <w:name w:val="Jegyzetszöveg Char"/>
    <w:rPr>
      <w:w w:val="100"/>
      <w:position w:val="-1"/>
      <w:effect w:val="none"/>
      <w:vertAlign w:val="baseline"/>
      <w:cs w:val="0"/>
      <w:em w:val="none"/>
      <w:lang w:eastAsia="en-US" w:val="sl-SI"/>
    </w:rPr>
  </w:style>
  <w:style w:type="paragraph" w:styleId="Megjegyzstrgya" w:customStyle="1">
    <w:name w:val="Megjegyzés tárgya"/>
    <w:basedOn w:val="Jegyzetszveg"/>
    <w:next w:val="Jegyzetszveg"/>
    <w:rPr>
      <w:b w:val="1"/>
      <w:bCs w:val="1"/>
    </w:rPr>
  </w:style>
  <w:style w:type="character" w:styleId="MegjegyzstrgyaChar" w:customStyle="1">
    <w:name w:val="Megjegyzés tárgya Char"/>
    <w:rPr>
      <w:b w:val="1"/>
      <w:bCs w:val="1"/>
      <w:w w:val="100"/>
      <w:position w:val="-1"/>
      <w:effect w:val="none"/>
      <w:vertAlign w:val="baseline"/>
      <w:cs w:val="0"/>
      <w:em w:val="none"/>
      <w:lang w:eastAsia="en-US" w:val="sl-SI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2O2BMSp+vbqT17FnI6kVJtFQuA==">CgMxLjAyDmgucWU1eGZzZHg0ZGJvMghoLmdqZGd4czgAciExV3BDRm13ckFxRVVlWlUwa3FhOWZ6U2VfMEZrdElnOXE=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2023-07-24T06:47:00Z</dcterms:created>
  <dc:creator>lmehic</dc:creator>
</cp:coreProperties>
</file>